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bCs w:val="1"/>
          <w:smallCap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mallCaps w:val="1"/>
          <w:sz w:val="24"/>
          <w:szCs w:val="24"/>
          <w:rtl w:val="0"/>
        </w:rPr>
        <w:t xml:space="preserve">MONITOROVACÍ LIST PODPOŘENÉ OSOBY</w:t>
      </w:r>
    </w:p>
    <w:tbl>
      <w:tblPr>
        <w:tblStyle w:val="Table1"/>
        <w:tblW w:w="9071.999999999998" w:type="dxa"/>
        <w:jc w:val="left"/>
        <w:tblInd w:w="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701"/>
        <w:gridCol w:w="993"/>
        <w:gridCol w:w="283"/>
        <w:gridCol w:w="2699"/>
        <w:gridCol w:w="1554"/>
        <w:gridCol w:w="1842"/>
        <w:tblGridChange w:id="0">
          <w:tblGrid>
            <w:gridCol w:w="1701"/>
            <w:gridCol w:w="993"/>
            <w:gridCol w:w="283"/>
            <w:gridCol w:w="2699"/>
            <w:gridCol w:w="1554"/>
            <w:gridCol w:w="1842"/>
          </w:tblGrid>
        </w:tblGridChange>
      </w:tblGrid>
      <w:tr>
        <w:trPr>
          <w:cantSplit w:val="0"/>
          <w:tblHeader w:val="0"/>
        </w:trPr>
        <w:tc>
          <w:tcPr>
            <w:gridSpan w:val="6"/>
            <w:shd w:fill="d9d9d9" w:val="clear"/>
            <w:tcMar>
              <w:top w:w="11.0" w:type="dxa"/>
              <w:left w:w="57.0" w:type="dxa"/>
              <w:bottom w:w="11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spacing w:after="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Identifikace projektu</w:t>
            </w:r>
          </w:p>
        </w:tc>
      </w:tr>
      <w:tr>
        <w:trPr>
          <w:cantSplit w:val="0"/>
          <w:tblHeader w:val="0"/>
        </w:trPr>
        <w:tc>
          <w:tcPr>
            <w:gridSpan w:val="3"/>
            <w:tcMar>
              <w:top w:w="11.0" w:type="dxa"/>
              <w:left w:w="57.0" w:type="dxa"/>
              <w:bottom w:w="11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Registrační číslo projektu</w:t>
            </w:r>
          </w:p>
        </w:tc>
        <w:tc>
          <w:tcPr>
            <w:gridSpan w:val="3"/>
            <w:tcMar>
              <w:top w:w="11.0" w:type="dxa"/>
              <w:left w:w="57.0" w:type="dxa"/>
              <w:bottom w:w="11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CZ.03.02.01/00/25_084/0006274</w:t>
            </w:r>
          </w:p>
        </w:tc>
      </w:tr>
      <w:tr>
        <w:trPr>
          <w:cantSplit w:val="0"/>
          <w:tblHeader w:val="0"/>
        </w:trPr>
        <w:tc>
          <w:tcPr>
            <w:gridSpan w:val="3"/>
            <w:tcMar>
              <w:top w:w="11.0" w:type="dxa"/>
              <w:left w:w="57.0" w:type="dxa"/>
              <w:bottom w:w="11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Název projektu</w:t>
            </w:r>
          </w:p>
        </w:tc>
        <w:tc>
          <w:tcPr>
            <w:gridSpan w:val="3"/>
            <w:tcMar>
              <w:top w:w="11.0" w:type="dxa"/>
              <w:left w:w="57.0" w:type="dxa"/>
              <w:bottom w:w="11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Společně pro komunitu Moravské brány</w:t>
            </w:r>
          </w:p>
        </w:tc>
      </w:tr>
      <w:tr>
        <w:trPr>
          <w:cantSplit w:val="0"/>
          <w:tblHeader w:val="0"/>
        </w:trPr>
        <w:tc>
          <w:tcPr>
            <w:gridSpan w:val="3"/>
            <w:tcMar>
              <w:top w:w="11.0" w:type="dxa"/>
              <w:left w:w="57.0" w:type="dxa"/>
              <w:bottom w:w="11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Příjemce podpory (název)</w:t>
            </w:r>
          </w:p>
        </w:tc>
        <w:tc>
          <w:tcPr>
            <w:gridSpan w:val="3"/>
            <w:tcMar>
              <w:top w:w="11.0" w:type="dxa"/>
              <w:left w:w="57.0" w:type="dxa"/>
              <w:bottom w:w="11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MAS MORAVSKÁ BRÁNA, z. s.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6"/>
            <w:shd w:fill="d9d9d9" w:val="clear"/>
            <w:tcMar>
              <w:top w:w="11.0" w:type="dxa"/>
              <w:left w:w="57.0" w:type="dxa"/>
              <w:bottom w:w="11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after="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Základní údaje o podpořené osobě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tcMar>
              <w:top w:w="11.0" w:type="dxa"/>
              <w:left w:w="57.0" w:type="dxa"/>
              <w:bottom w:w="11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Jméno a příjmení </w:t>
            </w:r>
          </w:p>
        </w:tc>
        <w:tc>
          <w:tcPr>
            <w:gridSpan w:val="5"/>
            <w:tcMar>
              <w:top w:w="11.0" w:type="dxa"/>
              <w:left w:w="57.0" w:type="dxa"/>
              <w:bottom w:w="11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tcMar>
              <w:top w:w="11.0" w:type="dxa"/>
              <w:left w:w="57.0" w:type="dxa"/>
              <w:bottom w:w="11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Datum narození</w:t>
            </w:r>
          </w:p>
        </w:tc>
        <w:tc>
          <w:tcPr>
            <w:gridSpan w:val="5"/>
            <w:tcMar>
              <w:top w:w="11.0" w:type="dxa"/>
              <w:left w:w="57.0" w:type="dxa"/>
              <w:bottom w:w="11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vMerge w:val="restart"/>
            <w:tcMar>
              <w:top w:w="11.0" w:type="dxa"/>
              <w:left w:w="57.0" w:type="dxa"/>
              <w:bottom w:w="11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spacing w:after="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Místo trvalého pobytu</w:t>
            </w:r>
          </w:p>
        </w:tc>
        <w:tc>
          <w:tcPr>
            <w:tcMar>
              <w:top w:w="11.0" w:type="dxa"/>
              <w:left w:w="57.0" w:type="dxa"/>
              <w:bottom w:w="11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Ulice</w:t>
            </w:r>
          </w:p>
        </w:tc>
        <w:tc>
          <w:tcPr>
            <w:gridSpan w:val="2"/>
            <w:tcMar>
              <w:top w:w="11.0" w:type="dxa"/>
              <w:left w:w="57.0" w:type="dxa"/>
              <w:bottom w:w="11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1.0" w:type="dxa"/>
              <w:left w:w="57.0" w:type="dxa"/>
              <w:bottom w:w="11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Číslo popisné</w:t>
            </w:r>
          </w:p>
        </w:tc>
        <w:tc>
          <w:tcPr>
            <w:tcMar>
              <w:top w:w="11.0" w:type="dxa"/>
              <w:left w:w="57.0" w:type="dxa"/>
              <w:bottom w:w="11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vMerge w:val="continue"/>
            <w:tcMar>
              <w:top w:w="11.0" w:type="dxa"/>
              <w:left w:w="57.0" w:type="dxa"/>
              <w:bottom w:w="11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1.0" w:type="dxa"/>
              <w:left w:w="57.0" w:type="dxa"/>
              <w:bottom w:w="11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Město</w:t>
            </w:r>
          </w:p>
        </w:tc>
        <w:tc>
          <w:tcPr>
            <w:gridSpan w:val="2"/>
            <w:tcMar>
              <w:top w:w="11.0" w:type="dxa"/>
              <w:left w:w="57.0" w:type="dxa"/>
              <w:bottom w:w="11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1.0" w:type="dxa"/>
              <w:left w:w="57.0" w:type="dxa"/>
              <w:bottom w:w="11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PSČ</w:t>
            </w:r>
          </w:p>
        </w:tc>
        <w:tc>
          <w:tcPr>
            <w:tcMar>
              <w:top w:w="11.0" w:type="dxa"/>
              <w:left w:w="57.0" w:type="dxa"/>
              <w:bottom w:w="11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tcMar>
              <w:top w:w="11.0" w:type="dxa"/>
              <w:left w:w="57.0" w:type="dxa"/>
              <w:bottom w:w="11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E-mail*</w:t>
            </w:r>
          </w:p>
        </w:tc>
        <w:tc>
          <w:tcPr>
            <w:gridSpan w:val="3"/>
            <w:tcMar>
              <w:top w:w="11.0" w:type="dxa"/>
              <w:left w:w="57.0" w:type="dxa"/>
              <w:bottom w:w="11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1.0" w:type="dxa"/>
              <w:left w:w="57.0" w:type="dxa"/>
              <w:bottom w:w="11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Telefon*</w:t>
            </w:r>
          </w:p>
        </w:tc>
        <w:tc>
          <w:tcPr>
            <w:tcMar>
              <w:top w:w="11.0" w:type="dxa"/>
              <w:left w:w="57.0" w:type="dxa"/>
              <w:bottom w:w="11.0" w:type="dxa"/>
              <w:right w:w="57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spacing w:after="120" w:lineRule="auto"/>
        <w:rPr>
          <w:rFonts w:ascii="Arial" w:cs="Arial" w:eastAsia="Arial" w:hAnsi="Arial"/>
          <w:sz w:val="20"/>
          <w:szCs w:val="20"/>
        </w:rPr>
      </w:pPr>
      <w:bookmarkStart w:colFirst="0" w:colLast="0" w:name="_heading=h.xf679a1dnh6f" w:id="0"/>
      <w:bookmarkEnd w:id="0"/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* Nepovinný údaj. Pro projekty s jednotkovými náklady zaměřené na další profesní vzdělávání, podpořené, ve výzvách vyhlášených od 1. 11. 2025, je však vyplnění e-mailu povinné vždy. </w:t>
      </w:r>
    </w:p>
    <w:tbl>
      <w:tblPr>
        <w:tblStyle w:val="Table2"/>
        <w:tblW w:w="8992.0" w:type="dxa"/>
        <w:jc w:val="left"/>
        <w:tblInd w:w="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992"/>
        <w:tblGridChange w:id="0">
          <w:tblGrid>
            <w:gridCol w:w="8992"/>
          </w:tblGrid>
        </w:tblGridChange>
      </w:tblGrid>
      <w:tr>
        <w:trPr>
          <w:cantSplit w:val="1"/>
          <w:trHeight w:val="278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hanging="356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Údaje zaznamenávané nejpozději před ukončením účasti osoby v projektu</w:t>
            </w:r>
          </w:p>
        </w:tc>
      </w:tr>
    </w:tbl>
    <w:p w:rsidR="00000000" w:rsidDel="00000000" w:rsidP="00000000" w:rsidRDefault="00000000" w:rsidRPr="00000000" w14:paraId="00000041">
      <w:pPr>
        <w:spacing w:after="0" w:lineRule="auto"/>
        <w:rPr>
          <w:rFonts w:ascii="Arial" w:cs="Arial" w:eastAsia="Arial" w:hAnsi="Arial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Rule="auto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Stav je zjišťován k datu zahájení účasti osoby v projektu.</w:t>
      </w:r>
    </w:p>
    <w:p w:rsidR="00000000" w:rsidDel="00000000" w:rsidP="00000000" w:rsidRDefault="00000000" w:rsidRPr="00000000" w14:paraId="00000043">
      <w:pPr>
        <w:spacing w:after="0" w:lineRule="auto"/>
        <w:rPr>
          <w:rFonts w:ascii="Arial" w:cs="Arial" w:eastAsia="Arial" w:hAnsi="Arial"/>
          <w:sz w:val="6"/>
          <w:szCs w:val="6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72.0" w:type="dxa"/>
        <w:jc w:val="left"/>
        <w:tblInd w:w="5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35"/>
        <w:gridCol w:w="6237"/>
        <w:tblGridChange w:id="0">
          <w:tblGrid>
            <w:gridCol w:w="2835"/>
            <w:gridCol w:w="6237"/>
          </w:tblGrid>
        </w:tblGridChange>
      </w:tblGrid>
      <w:tr>
        <w:trPr>
          <w:cantSplit w:val="0"/>
          <w:tblHeader w:val="0"/>
        </w:trPr>
        <w:tc>
          <w:tcPr>
            <w:tcMar>
              <w:top w:w="28.0" w:type="dxa"/>
              <w:left w:w="57.0" w:type="dxa"/>
              <w:bottom w:w="28.0" w:type="dxa"/>
              <w:right w:w="57.0" w:type="dxa"/>
            </w:tcMar>
          </w:tcPr>
          <w:p w:rsidR="00000000" w:rsidDel="00000000" w:rsidP="00000000" w:rsidRDefault="00000000" w:rsidRPr="00000000" w14:paraId="00000044">
            <w:pPr>
              <w:spacing w:after="0" w:lineRule="auto"/>
              <w:jc w:val="left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Pohlaví</w:t>
            </w:r>
          </w:p>
          <w:p w:rsidR="00000000" w:rsidDel="00000000" w:rsidP="00000000" w:rsidRDefault="00000000" w:rsidRPr="00000000" w14:paraId="00000045">
            <w:pPr>
              <w:spacing w:after="0" w:lineRule="auto"/>
              <w:jc w:val="left"/>
              <w:rPr>
                <w:rFonts w:ascii="Arial" w:cs="Arial" w:eastAsia="Arial" w:hAnsi="Arial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18"/>
                <w:szCs w:val="18"/>
                <w:rtl w:val="0"/>
              </w:rPr>
              <w:t xml:space="preserve">Podpořená osoba může patřit pouze do jedné z vymezených skupin.</w:t>
            </w:r>
          </w:p>
        </w:tc>
        <w:tc>
          <w:tcPr>
            <w:tcMar>
              <w:top w:w="28.0" w:type="dxa"/>
              <w:left w:w="57.0" w:type="dxa"/>
              <w:bottom w:w="28.0" w:type="dxa"/>
              <w:right w:w="57.0" w:type="dxa"/>
            </w:tcMar>
          </w:tcPr>
          <w:p w:rsidR="00000000" w:rsidDel="00000000" w:rsidP="00000000" w:rsidRDefault="00000000" w:rsidRPr="00000000" w14:paraId="00000046">
            <w:pPr>
              <w:spacing w:after="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muž</w:t>
            </w:r>
          </w:p>
          <w:p w:rsidR="00000000" w:rsidDel="00000000" w:rsidP="00000000" w:rsidRDefault="00000000" w:rsidRPr="00000000" w14:paraId="00000047">
            <w:pPr>
              <w:spacing w:after="0" w:lineRule="auto"/>
              <w:jc w:val="left"/>
              <w:rPr>
                <w:rFonts w:ascii="Arial" w:cs="Arial" w:eastAsia="Arial" w:hAnsi="Arial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žena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28.0" w:type="dxa"/>
              <w:left w:w="57.0" w:type="dxa"/>
              <w:bottom w:w="28.0" w:type="dxa"/>
              <w:right w:w="57.0" w:type="dxa"/>
            </w:tcMar>
          </w:tcPr>
          <w:p w:rsidR="00000000" w:rsidDel="00000000" w:rsidP="00000000" w:rsidRDefault="00000000" w:rsidRPr="00000000" w14:paraId="00000048">
            <w:pPr>
              <w:spacing w:after="0" w:lineRule="auto"/>
              <w:jc w:val="left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Postavení na trhu práce </w:t>
            </w:r>
          </w:p>
          <w:p w:rsidR="00000000" w:rsidDel="00000000" w:rsidP="00000000" w:rsidRDefault="00000000" w:rsidRPr="00000000" w14:paraId="00000049">
            <w:pPr>
              <w:spacing w:after="0" w:lineRule="auto"/>
              <w:jc w:val="left"/>
              <w:rPr>
                <w:rFonts w:ascii="Arial" w:cs="Arial" w:eastAsia="Arial" w:hAnsi="Arial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18"/>
                <w:szCs w:val="18"/>
                <w:rtl w:val="0"/>
              </w:rPr>
              <w:t xml:space="preserve">Podpořená osoba může patřit pouze do jedné kategorie (uvedených tučně). Pokud je daná kategorie dělena na další položky, je nutné zaškrtnout jednu z položek uvedenou standardním písmem (např. zaškrtnutím položky „osoba v invalidním důchodu neregistrovaná na ÚP ČR“ je taková osoba automaticky přiřazena také do hlavní kategorie neaktivní). </w:t>
            </w:r>
          </w:p>
          <w:p w:rsidR="00000000" w:rsidDel="00000000" w:rsidP="00000000" w:rsidRDefault="00000000" w:rsidRPr="00000000" w14:paraId="0000004A">
            <w:pPr>
              <w:spacing w:after="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18"/>
                <w:szCs w:val="18"/>
                <w:rtl w:val="0"/>
              </w:rPr>
              <w:t xml:space="preserve">V případě souběhu se uvádí převažující charakteristika.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8.0" w:type="dxa"/>
              <w:left w:w="57.0" w:type="dxa"/>
              <w:bottom w:w="28.0" w:type="dxa"/>
              <w:right w:w="57.0" w:type="dxa"/>
            </w:tcMar>
          </w:tcPr>
          <w:p w:rsidR="00000000" w:rsidDel="00000000" w:rsidP="00000000" w:rsidRDefault="00000000" w:rsidRPr="00000000" w14:paraId="0000004B">
            <w:pPr>
              <w:spacing w:after="0" w:lineRule="auto"/>
              <w:jc w:val="left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☐ zaměstnaní, včetně osob samostatně výdělečně činných </w:t>
            </w:r>
          </w:p>
          <w:p w:rsidR="00000000" w:rsidDel="00000000" w:rsidP="00000000" w:rsidRDefault="00000000" w:rsidRPr="00000000" w14:paraId="0000004C">
            <w:pPr>
              <w:spacing w:after="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0" w:lineRule="auto"/>
              <w:ind w:left="36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☐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zaměstnanci </w:t>
            </w:r>
          </w:p>
          <w:p w:rsidR="00000000" w:rsidDel="00000000" w:rsidP="00000000" w:rsidRDefault="00000000" w:rsidRPr="00000000" w14:paraId="0000004E">
            <w:pPr>
              <w:spacing w:after="0" w:lineRule="auto"/>
              <w:ind w:left="36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osoby samostatně výdělečně činné </w:t>
            </w:r>
          </w:p>
          <w:p w:rsidR="00000000" w:rsidDel="00000000" w:rsidP="00000000" w:rsidRDefault="00000000" w:rsidRPr="00000000" w14:paraId="0000004F">
            <w:pPr>
              <w:spacing w:after="0" w:lineRule="auto"/>
              <w:ind w:left="36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osoby na mateřské dovolené, které byly před nástupem na MD zaměstnané</w:t>
            </w:r>
          </w:p>
          <w:p w:rsidR="00000000" w:rsidDel="00000000" w:rsidP="00000000" w:rsidRDefault="00000000" w:rsidRPr="00000000" w14:paraId="00000050">
            <w:pPr>
              <w:spacing w:after="0" w:lineRule="auto"/>
              <w:ind w:left="36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osoby na mateřské dovolené, které byly před nástupem na MD OSVČ</w:t>
            </w:r>
          </w:p>
          <w:p w:rsidR="00000000" w:rsidDel="00000000" w:rsidP="00000000" w:rsidRDefault="00000000" w:rsidRPr="00000000" w14:paraId="00000051">
            <w:pPr>
              <w:spacing w:after="0" w:lineRule="auto"/>
              <w:jc w:val="left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☐ krátkodobě nezaměstnaní registrovaní na Úřadu práce ČR </w:t>
            </w:r>
          </w:p>
          <w:p w:rsidR="00000000" w:rsidDel="00000000" w:rsidP="00000000" w:rsidRDefault="00000000" w:rsidRPr="00000000" w14:paraId="00000052">
            <w:pPr>
              <w:spacing w:after="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(tj. osoby registrované na ÚP ČR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méně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než 12 měsíců)</w:t>
            </w:r>
          </w:p>
          <w:p w:rsidR="00000000" w:rsidDel="00000000" w:rsidP="00000000" w:rsidRDefault="00000000" w:rsidRPr="00000000" w14:paraId="00000053">
            <w:pPr>
              <w:spacing w:after="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after="0" w:lineRule="auto"/>
              <w:jc w:val="left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☐ dlouhodobě nezaměstnaní registrovaní na Úřadu práce ČR</w:t>
            </w:r>
          </w:p>
          <w:p w:rsidR="00000000" w:rsidDel="00000000" w:rsidP="00000000" w:rsidRDefault="00000000" w:rsidRPr="00000000" w14:paraId="00000055">
            <w:pPr>
              <w:spacing w:after="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(tj. osoby registrované na ÚP ČR 12 a více měsíců)</w:t>
            </w:r>
          </w:p>
          <w:p w:rsidR="00000000" w:rsidDel="00000000" w:rsidP="00000000" w:rsidRDefault="00000000" w:rsidRPr="00000000" w14:paraId="00000056">
            <w:pPr>
              <w:spacing w:after="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after="0" w:lineRule="auto"/>
              <w:jc w:val="left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☐ neaktivní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8">
            <w:pPr>
              <w:spacing w:after="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after="0" w:lineRule="auto"/>
              <w:ind w:left="708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žáci, studenti, učni (denní studium)</w:t>
            </w:r>
          </w:p>
          <w:p w:rsidR="00000000" w:rsidDel="00000000" w:rsidP="00000000" w:rsidRDefault="00000000" w:rsidRPr="00000000" w14:paraId="0000005A">
            <w:pPr>
              <w:spacing w:after="0" w:lineRule="auto"/>
              <w:ind w:left="708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osoby ve starobním důchodu, neregistrované na ÚP</w:t>
            </w:r>
          </w:p>
          <w:p w:rsidR="00000000" w:rsidDel="00000000" w:rsidP="00000000" w:rsidRDefault="00000000" w:rsidRPr="00000000" w14:paraId="0000005B">
            <w:pPr>
              <w:spacing w:after="0" w:lineRule="auto"/>
              <w:ind w:left="708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osoby v invalidním důchodu, neregistrované na ÚP</w:t>
            </w:r>
          </w:p>
          <w:p w:rsidR="00000000" w:rsidDel="00000000" w:rsidP="00000000" w:rsidRDefault="00000000" w:rsidRPr="00000000" w14:paraId="0000005C">
            <w:pPr>
              <w:spacing w:after="0" w:lineRule="auto"/>
              <w:ind w:left="708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osoby na rodičovské dovolené</w:t>
            </w:r>
          </w:p>
          <w:p w:rsidR="00000000" w:rsidDel="00000000" w:rsidP="00000000" w:rsidRDefault="00000000" w:rsidRPr="00000000" w14:paraId="0000005D">
            <w:pPr>
              <w:spacing w:after="0" w:lineRule="auto"/>
              <w:ind w:left="708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ostatní neaktivní osoby </w:t>
            </w:r>
          </w:p>
        </w:tc>
      </w:tr>
      <w:tr>
        <w:trPr>
          <w:cantSplit w:val="0"/>
          <w:tblHeader w:val="0"/>
        </w:trPr>
        <w:tc>
          <w:tcPr>
            <w:tcMar>
              <w:top w:w="28.0" w:type="dxa"/>
              <w:left w:w="57.0" w:type="dxa"/>
              <w:bottom w:w="28.0" w:type="dxa"/>
              <w:right w:w="57.0" w:type="dxa"/>
            </w:tcMar>
          </w:tcPr>
          <w:p w:rsidR="00000000" w:rsidDel="00000000" w:rsidP="00000000" w:rsidRDefault="00000000" w:rsidRPr="00000000" w14:paraId="0000005E">
            <w:pPr>
              <w:keepNext w:val="1"/>
              <w:spacing w:after="0" w:lineRule="auto"/>
              <w:jc w:val="left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Nejvyšší dosažené vzdělání</w:t>
            </w:r>
          </w:p>
          <w:p w:rsidR="00000000" w:rsidDel="00000000" w:rsidP="00000000" w:rsidRDefault="00000000" w:rsidRPr="00000000" w14:paraId="0000005F">
            <w:pPr>
              <w:keepNext w:val="1"/>
              <w:spacing w:after="0" w:lineRule="auto"/>
              <w:jc w:val="left"/>
              <w:rPr>
                <w:rFonts w:ascii="Arial" w:cs="Arial" w:eastAsia="Arial" w:hAnsi="Arial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18"/>
                <w:szCs w:val="18"/>
                <w:rtl w:val="0"/>
              </w:rPr>
              <w:t xml:space="preserve">Podpořená osoba musí patřit do jedné z vymezených skupin.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8.0" w:type="dxa"/>
              <w:left w:w="57.0" w:type="dxa"/>
              <w:bottom w:w="28.0" w:type="dxa"/>
              <w:right w:w="57.0" w:type="dxa"/>
            </w:tcMar>
          </w:tcPr>
          <w:p w:rsidR="00000000" w:rsidDel="00000000" w:rsidP="00000000" w:rsidRDefault="00000000" w:rsidRPr="00000000" w14:paraId="00000060">
            <w:pPr>
              <w:keepNext w:val="1"/>
              <w:spacing w:after="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bez vzdělání (nedokončený 1. stupeň základní školy)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superscript"/>
              </w:rPr>
              <w:footnoteReference w:customMarkFollows="0" w:id="1"/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1">
            <w:pPr>
              <w:keepNext w:val="1"/>
              <w:spacing w:after="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základní vzdělání včetně nedokončeného 2. stupně ZŠ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superscript"/>
              </w:rPr>
              <w:footnoteReference w:customMarkFollows="0" w:id="2"/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2">
            <w:pPr>
              <w:keepNext w:val="1"/>
              <w:spacing w:after="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středoškolské vzdělání vč. vyučení, maturity anebo pomaturitního studia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superscript"/>
              </w:rPr>
              <w:footnoteReference w:customMarkFollows="0" w:id="3"/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3">
            <w:pPr>
              <w:keepNext w:val="1"/>
              <w:spacing w:after="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vyšší odborné, bakalářské, magisterské, doktorské studium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superscript"/>
              </w:rPr>
              <w:footnoteReference w:customMarkFollows="0" w:id="4"/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4">
            <w:pPr>
              <w:keepNext w:val="1"/>
              <w:spacing w:after="0" w:lineRule="auto"/>
              <w:jc w:val="left"/>
              <w:rPr>
                <w:rFonts w:ascii="Arial" w:cs="Arial" w:eastAsia="Arial" w:hAnsi="Arial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vzdělání jinde neuvedené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superscript"/>
              </w:rPr>
              <w:footnoteReference w:customMarkFollows="0" w:id="5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5" w:hRule="atLeast"/>
          <w:tblHeader w:val="0"/>
        </w:trPr>
        <w:tc>
          <w:tcPr>
            <w:tcMar>
              <w:top w:w="28.0" w:type="dxa"/>
              <w:left w:w="57.0" w:type="dxa"/>
              <w:bottom w:w="28.0" w:type="dxa"/>
              <w:right w:w="57.0" w:type="dxa"/>
            </w:tcMar>
          </w:tcPr>
          <w:p w:rsidR="00000000" w:rsidDel="00000000" w:rsidP="00000000" w:rsidRDefault="00000000" w:rsidRPr="00000000" w14:paraId="00000065">
            <w:pPr>
              <w:spacing w:after="0" w:lineRule="auto"/>
              <w:jc w:val="left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Znevýhodnění</w:t>
            </w:r>
          </w:p>
          <w:p w:rsidR="00000000" w:rsidDel="00000000" w:rsidP="00000000" w:rsidRDefault="00000000" w:rsidRPr="00000000" w14:paraId="00000066">
            <w:pPr>
              <w:spacing w:after="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18"/>
                <w:szCs w:val="18"/>
                <w:rtl w:val="0"/>
              </w:rPr>
              <w:t xml:space="preserve">Podpořená osoba může patřit do více vymezených skupin (příp. do žádné).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spacing w:after="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8.0" w:type="dxa"/>
              <w:left w:w="57.0" w:type="dxa"/>
              <w:bottom w:w="28.0" w:type="dxa"/>
              <w:right w:w="57.0" w:type="dxa"/>
            </w:tcMar>
          </w:tcPr>
          <w:p w:rsidR="00000000" w:rsidDel="00000000" w:rsidP="00000000" w:rsidRDefault="00000000" w:rsidRPr="00000000" w14:paraId="00000068">
            <w:pPr>
              <w:spacing w:after="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osoby se zdravotním postižením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superscript"/>
              </w:rPr>
              <w:footnoteReference w:customMarkFollows="0" w:id="6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spacing w:after="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národnostní menšiny (včetně marginalizovaných komunit jako jsou Romové)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superscript"/>
              </w:rPr>
              <w:footnoteReference w:customMarkFollows="0" w:id="7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spacing w:after="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státní příslušníci třetích zemí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superscript"/>
              </w:rPr>
              <w:footnoteReference w:customMarkFollows="0" w:id="8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spacing w:after="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účastníci zahraničního původu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superscript"/>
              </w:rPr>
              <w:footnoteReference w:customMarkFollows="0" w:id="9"/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C">
            <w:pPr>
              <w:spacing w:after="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osoby bez domova nebo osoby vyloučené z přístupu k bydlení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superscript"/>
              </w:rPr>
              <w:footnoteReference w:customMarkFollows="0" w:id="10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spacing w:after="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spacing w:after="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osoby s jiným znevýhodněním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superscript"/>
              </w:rPr>
              <w:footnoteReference w:customMarkFollows="0" w:id="11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spacing w:after="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 ☐ osoby po výkonu trestu</w:t>
            </w:r>
          </w:p>
          <w:p w:rsidR="00000000" w:rsidDel="00000000" w:rsidP="00000000" w:rsidRDefault="00000000" w:rsidRPr="00000000" w14:paraId="00000070">
            <w:pPr>
              <w:spacing w:after="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 ☐ osoby ohrožené závislostí </w:t>
            </w:r>
          </w:p>
          <w:p w:rsidR="00000000" w:rsidDel="00000000" w:rsidP="00000000" w:rsidRDefault="00000000" w:rsidRPr="00000000" w14:paraId="00000071">
            <w:pPr>
              <w:spacing w:after="0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 ☐ osoby s jiným znevýhodněním, kvůli kterému čelí        sociálnímu vyloučení </w:t>
            </w:r>
          </w:p>
        </w:tc>
      </w:tr>
    </w:tbl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992.0" w:type="dxa"/>
        <w:jc w:val="left"/>
        <w:tblInd w:w="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405"/>
        <w:gridCol w:w="854"/>
        <w:gridCol w:w="3733"/>
        <w:tblGridChange w:id="0">
          <w:tblGrid>
            <w:gridCol w:w="4405"/>
            <w:gridCol w:w="854"/>
            <w:gridCol w:w="3733"/>
          </w:tblGrid>
        </w:tblGridChange>
      </w:tblGrid>
      <w:tr>
        <w:trPr>
          <w:cantSplit w:val="0"/>
          <w:tblHeader w:val="0"/>
        </w:trPr>
        <w:tc>
          <w:tcPr>
            <w:tcMar>
              <w:top w:w="28.0" w:type="dxa"/>
              <w:bottom w:w="28.0" w:type="dxa"/>
            </w:tcMar>
          </w:tcPr>
          <w:p w:rsidR="00000000" w:rsidDel="00000000" w:rsidP="00000000" w:rsidRDefault="00000000" w:rsidRPr="00000000" w14:paraId="00000074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V </w:t>
            </w:r>
          </w:p>
          <w:p w:rsidR="00000000" w:rsidDel="00000000" w:rsidP="00000000" w:rsidRDefault="00000000" w:rsidRPr="00000000" w14:paraId="00000075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dne </w:t>
            </w:r>
          </w:p>
        </w:tc>
        <w:tc>
          <w:tcPr>
            <w:tcMar>
              <w:top w:w="28.0" w:type="dxa"/>
              <w:bottom w:w="28.0" w:type="dxa"/>
            </w:tcMar>
          </w:tcPr>
          <w:p w:rsidR="00000000" w:rsidDel="00000000" w:rsidP="00000000" w:rsidRDefault="00000000" w:rsidRPr="00000000" w14:paraId="00000076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Podpis</w:t>
            </w:r>
          </w:p>
        </w:tc>
        <w:tc>
          <w:tcPr>
            <w:tcMar>
              <w:top w:w="28.0" w:type="dxa"/>
              <w:bottom w:w="28.0" w:type="dxa"/>
            </w:tcMar>
          </w:tcPr>
          <w:p w:rsidR="00000000" w:rsidDel="00000000" w:rsidP="00000000" w:rsidRDefault="00000000" w:rsidRPr="00000000" w14:paraId="00000077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200" w:line="276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8" w:w="11906" w:orient="portrait"/>
      <w:pgMar w:bottom="1417" w:top="1417" w:left="1417" w:right="1417" w:header="708" w:footer="487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9072.0" w:type="dxa"/>
      <w:jc w:val="left"/>
      <w:tblLayout w:type="fixed"/>
      <w:tblLook w:val="0400"/>
    </w:tblPr>
    <w:tblGrid>
      <w:gridCol w:w="3024"/>
      <w:gridCol w:w="3025"/>
      <w:gridCol w:w="3023"/>
      <w:tblGridChange w:id="0">
        <w:tblGrid>
          <w:gridCol w:w="3024"/>
          <w:gridCol w:w="3025"/>
          <w:gridCol w:w="3023"/>
        </w:tblGrid>
      </w:tblGridChange>
    </w:tblGrid>
    <w:tr>
      <w:trPr>
        <w:cantSplit w:val="0"/>
        <w:tblHeader w:val="0"/>
      </w:trPr>
      <w:tc>
        <w:tcPr>
          <w:vAlign w:val="center"/>
        </w:tcPr>
        <w:p w:rsidR="00000000" w:rsidDel="00000000" w:rsidP="00000000" w:rsidRDefault="00000000" w:rsidRPr="00000000" w14:paraId="0000008B">
          <w:pPr>
            <w:spacing w:after="60" w:before="60" w:lineRule="auto"/>
            <w:ind w:right="57"/>
            <w:jc w:val="left"/>
            <w:rPr>
              <w:rFonts w:ascii="Arial" w:cs="Arial" w:eastAsia="Arial" w:hAnsi="Arial"/>
              <w:color w:val="080808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color w:val="080808"/>
              <w:sz w:val="20"/>
              <w:szCs w:val="20"/>
              <w:rtl w:val="0"/>
            </w:rPr>
            <w:t xml:space="preserve">Vzor účinný od 1. 4. 2026  </w:t>
          </w:r>
        </w:p>
      </w:tc>
      <w:tc>
        <w:tcPr>
          <w:vAlign w:val="center"/>
        </w:tcPr>
        <w:p w:rsidR="00000000" w:rsidDel="00000000" w:rsidP="00000000" w:rsidRDefault="00000000" w:rsidRPr="00000000" w14:paraId="0000008C">
          <w:pPr>
            <w:spacing w:after="60" w:before="60" w:lineRule="auto"/>
            <w:ind w:left="57" w:right="57" w:firstLine="0"/>
            <w:jc w:val="center"/>
            <w:rPr>
              <w:rFonts w:ascii="Arial" w:cs="Arial" w:eastAsia="Arial" w:hAnsi="Arial"/>
              <w:color w:val="080808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8D">
          <w:pPr>
            <w:spacing w:after="60" w:before="60" w:lineRule="auto"/>
            <w:ind w:left="57" w:right="57" w:firstLine="0"/>
            <w:jc w:val="right"/>
            <w:rPr>
              <w:rFonts w:ascii="Arial" w:cs="Arial" w:eastAsia="Arial" w:hAnsi="Arial"/>
              <w:color w:val="080808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color w:val="080808"/>
              <w:sz w:val="20"/>
              <w:szCs w:val="20"/>
              <w:rtl w:val="0"/>
            </w:rPr>
            <w:t xml:space="preserve">Strana: </w:t>
          </w:r>
          <w:r w:rsidDel="00000000" w:rsidR="00000000" w:rsidRPr="00000000">
            <w:rPr>
              <w:rFonts w:ascii="Arial" w:cs="Arial" w:eastAsia="Arial" w:hAnsi="Arial"/>
              <w:color w:val="080808"/>
              <w:sz w:val="20"/>
              <w:szCs w:val="20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80808"/>
              <w:sz w:val="20"/>
              <w:szCs w:val="20"/>
              <w:rtl w:val="0"/>
            </w:rPr>
            <w:t xml:space="preserve"> z </w:t>
          </w:r>
          <w:r w:rsidDel="00000000" w:rsidR="00000000" w:rsidRPr="00000000">
            <w:rPr>
              <w:rFonts w:ascii="Arial" w:cs="Arial" w:eastAsia="Arial" w:hAnsi="Arial"/>
              <w:color w:val="080808"/>
              <w:sz w:val="20"/>
              <w:szCs w:val="20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8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6"/>
      <w:tblW w:w="9072.0" w:type="dxa"/>
      <w:jc w:val="left"/>
      <w:tblLayout w:type="fixed"/>
      <w:tblLook w:val="0400"/>
    </w:tblPr>
    <w:tblGrid>
      <w:gridCol w:w="3024"/>
      <w:gridCol w:w="3025"/>
      <w:gridCol w:w="3023"/>
      <w:tblGridChange w:id="0">
        <w:tblGrid>
          <w:gridCol w:w="3024"/>
          <w:gridCol w:w="3025"/>
          <w:gridCol w:w="3023"/>
        </w:tblGrid>
      </w:tblGridChange>
    </w:tblGrid>
    <w:tr>
      <w:trPr>
        <w:cantSplit w:val="0"/>
        <w:tblHeader w:val="0"/>
      </w:trPr>
      <w:tc>
        <w:tcPr>
          <w:vAlign w:val="center"/>
        </w:tcPr>
        <w:p w:rsidR="00000000" w:rsidDel="00000000" w:rsidP="00000000" w:rsidRDefault="00000000" w:rsidRPr="00000000" w14:paraId="00000090">
          <w:pPr>
            <w:spacing w:after="60" w:before="60" w:lineRule="auto"/>
            <w:ind w:right="57"/>
            <w:jc w:val="left"/>
            <w:rPr>
              <w:rFonts w:ascii="Arial" w:cs="Arial" w:eastAsia="Arial" w:hAnsi="Arial"/>
              <w:color w:val="080808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color w:val="080808"/>
              <w:sz w:val="20"/>
              <w:szCs w:val="20"/>
              <w:rtl w:val="0"/>
            </w:rPr>
            <w:t xml:space="preserve">Vzor účinný od 1. 4. 2026</w:t>
          </w:r>
        </w:p>
      </w:tc>
      <w:tc>
        <w:tcPr>
          <w:vAlign w:val="center"/>
        </w:tcPr>
        <w:p w:rsidR="00000000" w:rsidDel="00000000" w:rsidP="00000000" w:rsidRDefault="00000000" w:rsidRPr="00000000" w14:paraId="00000091">
          <w:pPr>
            <w:spacing w:after="60" w:before="60" w:lineRule="auto"/>
            <w:ind w:left="57" w:right="57" w:firstLine="0"/>
            <w:jc w:val="center"/>
            <w:rPr>
              <w:rFonts w:ascii="Arial" w:cs="Arial" w:eastAsia="Arial" w:hAnsi="Arial"/>
              <w:color w:val="080808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92">
          <w:pPr>
            <w:spacing w:after="60" w:before="60" w:lineRule="auto"/>
            <w:ind w:left="57" w:right="57" w:firstLine="0"/>
            <w:jc w:val="right"/>
            <w:rPr>
              <w:rFonts w:ascii="Arial" w:cs="Arial" w:eastAsia="Arial" w:hAnsi="Arial"/>
              <w:color w:val="080808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color w:val="080808"/>
              <w:sz w:val="20"/>
              <w:szCs w:val="20"/>
              <w:rtl w:val="0"/>
            </w:rPr>
            <w:t xml:space="preserve">Strana: </w:t>
          </w:r>
          <w:r w:rsidDel="00000000" w:rsidR="00000000" w:rsidRPr="00000000">
            <w:rPr>
              <w:rFonts w:ascii="Arial" w:cs="Arial" w:eastAsia="Arial" w:hAnsi="Arial"/>
              <w:color w:val="080808"/>
              <w:sz w:val="20"/>
              <w:szCs w:val="20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80808"/>
              <w:sz w:val="20"/>
              <w:szCs w:val="20"/>
              <w:rtl w:val="0"/>
            </w:rPr>
            <w:t xml:space="preserve"> z </w:t>
          </w:r>
          <w:r w:rsidDel="00000000" w:rsidR="00000000" w:rsidRPr="00000000">
            <w:rPr>
              <w:rFonts w:ascii="Arial" w:cs="Arial" w:eastAsia="Arial" w:hAnsi="Arial"/>
              <w:color w:val="080808"/>
              <w:sz w:val="20"/>
              <w:szCs w:val="20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9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Osoba je považovaná za neaktivní, když není zaměstnaná (včetně OSVČ), ani registrovaná na Úřadu práce ČR (jako uchazeč o zaměstnání).</w:t>
      </w:r>
    </w:p>
  </w:footnote>
  <w:footnote w:id="1"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Osoby s nedokončeným 1. stupněm základní školy (ISCED 0). Tyto osoby jsou v případě členění podle typu znevýhodnění považovány za „osoby s jiným znevýhodněním“.</w:t>
      </w:r>
    </w:p>
  </w:footnote>
  <w:footnote w:id="2"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„ISCED 1–2“ pokrývá nedokončené základní vzdělání až střední vzdělání bez maturity i výučního listu, tj. praktické jednoleté. </w:t>
      </w:r>
    </w:p>
  </w:footnote>
  <w:footnote w:id="3"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„ISCED 3–4“ pokrývá střední vzdělání bez maturity i výučního listu, tj. praktické dvouleté až pomaturitní a nástavbové studium.</w:t>
      </w:r>
    </w:p>
  </w:footnote>
  <w:footnote w:id="4"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superscript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„ISCED 5–8“ pokrývá vyšší odborné vzdělání až vysokoškolské doktorské vzdělání (včetně vzdělání uvedeným stupňům odpovídajícího).</w:t>
      </w:r>
      <w:r w:rsidDel="00000000" w:rsidR="00000000" w:rsidRPr="00000000">
        <w:rPr>
          <w:rtl w:val="0"/>
        </w:rPr>
      </w:r>
    </w:p>
  </w:footnote>
  <w:footnote w:id="5"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ISCED 9 – vzdělání jinde neuvedené</w:t>
      </w:r>
    </w:p>
  </w:footnote>
  <w:footnote w:id="6"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7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Do kategorie osob se zdravotním postižením patří v souladu s § 67 zákona č. 435/2004 Sb. fyzické osoby, které jsou orgánem sociálního zabezpečení uznány a) invalidními ve třetím stupni), b) invalidními v prvním nebo druhém stupni, c) zdravotně znevýhodněnými. Do této kategorie patří také fyzické osoby, které byly uznány Úřadem práce ČR zdravotně znevýhodněnými, a rozhodnutí nepozbylo platnosti. V případě projektů týkajících se škol a školských zařízení se nad rámec výše uvedeného zdravotně postiženými účastníky rozumí také děti, žáci a studenti se zdravotním postižením dle § 16 zákona č. 561/2004 a vyhlášky č. 73/2005, kteří potřebují speciální pomoc při vzdělávání kvůli svému znevýhodnění. Jedná se o údaj spadající do zvláštní kategorie osobních údajů podle čl. 9 Obecného nařízení o ochraně osobních údajů.</w:t>
      </w:r>
    </w:p>
  </w:footnote>
  <w:footnote w:id="7"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Účastníci, kteří žijí na území ČR, avšak pocházejí z území mimo ČR, náleží do některé z menšin či potřebují speciální pomoc na trhu práce kvůli jazyku či jinému kulturnímu znevýhodnění. V ČR jsou národnostní menšiny uvedeny výčtem v článku 3 statutu Rady vlády pro národnostní menšiny. (Jedná se o celkem 14 menšin: běloruskou, bulharskou, chorvatskou, maďarskou, německou, polskou, romskou, rusínskou, ruskou, řeckou, slovenskou, srbskou, ukrajinskou, vietnamskou). Jedná se o údaj spadající do zvláštní kategorie osobních údajů podle čl. 9 Obecného nařízení o ochraně osobních údajů.</w:t>
      </w:r>
    </w:p>
  </w:footnote>
  <w:footnote w:id="8"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Státním příslušníkem třetí země se rozumí jakákoli osoba, která není občanem Unie ve smyslu čl. 20 odst. 1 SFEU, s výjimkou osob s vícenásobným občanstvím, kde alespoň jedno občanství je z členského státu EU. Státní příslušníci třetích zemí zahrnují osoby bez státní příslušnosti a osoby s neurčenou národností.</w:t>
      </w:r>
    </w:p>
  </w:footnote>
  <w:footnote w:id="9"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Osoby, jejichž rodiče se narodili mimo ČR nebo osoby, které mají české občanství, nicméně původem jsou cizinci </w:t>
      </w:r>
    </w:p>
  </w:footnote>
  <w:footnote w:id="10"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superscript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Jedná se o osoby, jejichž bydlení je nejisté nebo neodpovídá standardům bydlení v daném prostředí (z důvodu chudoby, zadlužení, provizorního charakteru ubytování, blížícího se propuštění z instituce, pobytu bez právního nároku apod.), osoby v ubytovacím zařízení pro bezdomovce, osoby spící venku (bez střechy) – „na ulici“ / bez přístřeší, a tudíž potřebují speciální pomoc v procesu začlenění se na trhu práce.</w:t>
      </w:r>
      <w:r w:rsidDel="00000000" w:rsidR="00000000" w:rsidRPr="00000000">
        <w:rPr>
          <w:rtl w:val="0"/>
        </w:rPr>
      </w:r>
    </w:p>
  </w:footnote>
  <w:footnote w:id="11"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Jedná se o osoby s jiným znevýhodněním, které kvůli svému znevýhodnění čelí sociálnímu vyloučení (např. osoby po výkonu trestu, osoby ohrožené závislostí, osoby s nedokončeným 1. stupněm základní školy atd.).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align>left</wp:align>
          </wp:positionH>
          <wp:positionV relativeFrom="topMargin">
            <wp:align>bottom</wp:align>
          </wp:positionV>
          <wp:extent cx="7545600" cy="91440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5600" cy="9144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"/>
      <w:lvlJc w:val="left"/>
      <w:pPr>
        <w:ind w:left="1080" w:hanging="72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cs"/>
      </w:rPr>
    </w:rPrDefault>
    <w:pPrDefault>
      <w:pPr>
        <w:spacing w:after="220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oKcB7OFBlUFwV5Bmcqtm+8sU1w==">CgMxLjAyDmgueGY2NzlhMWRuaDZmOAByITFMdFpvYXcwV2Q4U1RMQ2hBUllyMGJibDR2SHJndFBpQw==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